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FB7" w:rsidRPr="00EF65F2" w:rsidRDefault="00A42FB7" w:rsidP="001A6144">
      <w:pPr>
        <w:pStyle w:val="normln1"/>
        <w:ind w:left="426" w:right="423"/>
        <w:rPr>
          <w:rFonts w:ascii="Arial" w:hAnsi="Arial" w:cs="Arial"/>
          <w:sz w:val="24"/>
          <w:szCs w:val="24"/>
        </w:rPr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  <w:r w:rsidRPr="00EF65F2">
        <w:rPr>
          <w:rFonts w:ascii="Arial" w:hAnsi="Arial" w:cs="Arial"/>
          <w:b/>
          <w:sz w:val="28"/>
          <w:szCs w:val="28"/>
        </w:rPr>
        <w:t>Technická zpráva</w:t>
      </w:r>
    </w:p>
    <w:p w:rsidR="00A42FB7" w:rsidRDefault="00A42FB7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A42FB7" w:rsidRDefault="002372A1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EVAKUAČNÍ ROZHLAS</w:t>
      </w:r>
      <w:r w:rsidR="00A42FB7">
        <w:rPr>
          <w:rFonts w:ascii="Arial" w:hAnsi="Arial" w:cs="Arial"/>
          <w:b/>
          <w:sz w:val="28"/>
          <w:szCs w:val="28"/>
        </w:rPr>
        <w:t xml:space="preserve"> </w:t>
      </w:r>
      <w:r w:rsidR="004E72DF">
        <w:rPr>
          <w:rFonts w:ascii="Arial" w:hAnsi="Arial" w:cs="Arial"/>
          <w:b/>
          <w:sz w:val="28"/>
          <w:szCs w:val="28"/>
        </w:rPr>
        <w:t xml:space="preserve">- </w:t>
      </w:r>
      <w:r w:rsidR="00A42FB7">
        <w:rPr>
          <w:rFonts w:ascii="Arial" w:hAnsi="Arial" w:cs="Arial"/>
          <w:b/>
          <w:sz w:val="28"/>
          <w:szCs w:val="28"/>
        </w:rPr>
        <w:t>E</w:t>
      </w:r>
      <w:r>
        <w:rPr>
          <w:rFonts w:ascii="Arial" w:hAnsi="Arial" w:cs="Arial"/>
          <w:b/>
          <w:sz w:val="28"/>
          <w:szCs w:val="28"/>
        </w:rPr>
        <w:t>RO</w:t>
      </w: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P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sz w:val="24"/>
          <w:szCs w:val="24"/>
        </w:rPr>
      </w:pPr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Název stavby:</w:t>
      </w:r>
      <w:r w:rsidRPr="00C526C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Rekonstrukce DK Poklad, SO 02, 03, 04</w:t>
      </w:r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Místo stavby:</w:t>
      </w:r>
      <w:r w:rsidRPr="00C526C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M. Kopeckého 675/21, 708 00 Ostrava – Poruba</w:t>
      </w:r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Stavebník:</w:t>
      </w:r>
      <w:r w:rsidRPr="00C526C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DK Poklad s.r.o., M Kopeckého 675/21, 708 00 Ostrava – Poruba</w:t>
      </w:r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Stupeň dokumentace:</w:t>
      </w:r>
      <w:r w:rsidRPr="00C526C6">
        <w:rPr>
          <w:rFonts w:ascii="Arial" w:hAnsi="Arial" w:cs="Arial"/>
          <w:sz w:val="24"/>
          <w:szCs w:val="24"/>
        </w:rPr>
        <w:tab/>
        <w:t xml:space="preserve">Dokumentace pro </w:t>
      </w:r>
      <w:r w:rsidR="004E72DF">
        <w:rPr>
          <w:rFonts w:ascii="Arial" w:hAnsi="Arial" w:cs="Arial"/>
          <w:sz w:val="24"/>
          <w:szCs w:val="24"/>
        </w:rPr>
        <w:t>provádění stavby</w:t>
      </w:r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Vypracoval:</w:t>
      </w:r>
      <w:r w:rsidRPr="00C526C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Jaromír </w:t>
      </w:r>
      <w:proofErr w:type="spellStart"/>
      <w:r>
        <w:rPr>
          <w:rFonts w:ascii="Arial" w:hAnsi="Arial" w:cs="Arial"/>
          <w:sz w:val="24"/>
          <w:szCs w:val="24"/>
        </w:rPr>
        <w:t>Kyller</w:t>
      </w:r>
      <w:proofErr w:type="spellEnd"/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Kontroloval: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Petr Kryštof</w:t>
      </w:r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Datum zpracování:</w:t>
      </w:r>
      <w:r w:rsidRPr="00C526C6">
        <w:rPr>
          <w:rFonts w:ascii="Arial" w:hAnsi="Arial" w:cs="Arial"/>
          <w:sz w:val="24"/>
          <w:szCs w:val="24"/>
        </w:rPr>
        <w:tab/>
      </w:r>
      <w:r w:rsidR="004E72DF">
        <w:rPr>
          <w:rFonts w:ascii="Arial" w:hAnsi="Arial" w:cs="Arial"/>
          <w:sz w:val="24"/>
          <w:szCs w:val="24"/>
        </w:rPr>
        <w:t>11</w:t>
      </w:r>
      <w:r w:rsidRPr="00C526C6">
        <w:rPr>
          <w:rFonts w:ascii="Arial" w:hAnsi="Arial" w:cs="Arial"/>
          <w:sz w:val="24"/>
          <w:szCs w:val="24"/>
        </w:rPr>
        <w:t>/2012</w:t>
      </w: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Pr="00EF65F2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A42FB7" w:rsidRPr="005C55CE" w:rsidRDefault="00A42FB7" w:rsidP="00EF65F2">
      <w:pPr>
        <w:pStyle w:val="normln1"/>
        <w:ind w:left="900" w:right="358"/>
        <w:jc w:val="center"/>
        <w:rPr>
          <w:rFonts w:ascii="Arial" w:hAnsi="Arial" w:cs="Arial"/>
        </w:rPr>
      </w:pPr>
    </w:p>
    <w:p w:rsidR="00A42FB7" w:rsidRPr="00EF65F2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lastRenderedPageBreak/>
        <w:t xml:space="preserve">1.1. </w:t>
      </w:r>
      <w:r w:rsidRPr="00EF65F2">
        <w:rPr>
          <w:rFonts w:ascii="Arial" w:hAnsi="Arial" w:cs="Arial"/>
          <w:szCs w:val="28"/>
        </w:rPr>
        <w:t>Úvod</w:t>
      </w:r>
    </w:p>
    <w:p w:rsidR="00A42FB7" w:rsidRPr="00EF65F2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 w:val="24"/>
          <w:szCs w:val="24"/>
        </w:rPr>
      </w:pPr>
    </w:p>
    <w:p w:rsidR="00A42FB7" w:rsidRPr="00EF65F2" w:rsidRDefault="00A42FB7" w:rsidP="00EF65F2">
      <w:pPr>
        <w:pStyle w:val="normln1"/>
        <w:ind w:left="900"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Projektová dokumentace, jejíž nedílnou součástí je tato technická zpráva, řeší </w:t>
      </w:r>
      <w:proofErr w:type="gramStart"/>
      <w:r>
        <w:rPr>
          <w:rFonts w:ascii="Arial" w:hAnsi="Arial" w:cs="Arial"/>
          <w:sz w:val="24"/>
          <w:szCs w:val="24"/>
        </w:rPr>
        <w:t>instalaci</w:t>
      </w:r>
      <w:r w:rsidRPr="00EF65F2">
        <w:rPr>
          <w:rFonts w:ascii="Arial" w:hAnsi="Arial" w:cs="Arial"/>
          <w:sz w:val="24"/>
          <w:szCs w:val="24"/>
        </w:rPr>
        <w:t xml:space="preserve">  </w:t>
      </w:r>
      <w:r w:rsidR="002372A1">
        <w:rPr>
          <w:rFonts w:ascii="Arial" w:hAnsi="Arial" w:cs="Arial"/>
          <w:sz w:val="24"/>
          <w:szCs w:val="24"/>
        </w:rPr>
        <w:t>Evakuačního</w:t>
      </w:r>
      <w:proofErr w:type="gramEnd"/>
      <w:r w:rsidR="002372A1">
        <w:rPr>
          <w:rFonts w:ascii="Arial" w:hAnsi="Arial" w:cs="Arial"/>
          <w:sz w:val="24"/>
          <w:szCs w:val="24"/>
        </w:rPr>
        <w:t xml:space="preserve"> rozhlasu</w:t>
      </w:r>
      <w:r w:rsidR="006B7561">
        <w:rPr>
          <w:rFonts w:ascii="Arial" w:hAnsi="Arial" w:cs="Arial"/>
          <w:sz w:val="24"/>
          <w:szCs w:val="24"/>
        </w:rPr>
        <w:t xml:space="preserve"> (dále jen </w:t>
      </w:r>
      <w:r w:rsidR="002372A1">
        <w:rPr>
          <w:rFonts w:ascii="Arial" w:hAnsi="Arial" w:cs="Arial"/>
          <w:sz w:val="24"/>
          <w:szCs w:val="24"/>
        </w:rPr>
        <w:t>ERO</w:t>
      </w:r>
      <w:r w:rsidR="006B7561">
        <w:rPr>
          <w:rFonts w:ascii="Arial" w:hAnsi="Arial" w:cs="Arial"/>
          <w:sz w:val="24"/>
          <w:szCs w:val="24"/>
        </w:rPr>
        <w:t>) jako novou instalaci</w:t>
      </w:r>
      <w:r w:rsidRPr="00EF65F2">
        <w:rPr>
          <w:rFonts w:ascii="Arial" w:hAnsi="Arial" w:cs="Arial"/>
          <w:sz w:val="24"/>
          <w:szCs w:val="24"/>
        </w:rPr>
        <w:t xml:space="preserve"> v objektu </w:t>
      </w:r>
      <w:r w:rsidR="00C526C6">
        <w:rPr>
          <w:rFonts w:ascii="Arial" w:hAnsi="Arial" w:cs="Arial"/>
          <w:sz w:val="24"/>
          <w:szCs w:val="24"/>
        </w:rPr>
        <w:t xml:space="preserve">DK Poklad v Ostravě </w:t>
      </w:r>
      <w:proofErr w:type="spellStart"/>
      <w:r w:rsidR="00C526C6">
        <w:rPr>
          <w:rFonts w:ascii="Arial" w:hAnsi="Arial" w:cs="Arial"/>
          <w:sz w:val="24"/>
          <w:szCs w:val="24"/>
        </w:rPr>
        <w:t>Porubě</w:t>
      </w:r>
      <w:proofErr w:type="spellEnd"/>
      <w:r w:rsidR="00C526C6">
        <w:rPr>
          <w:rFonts w:ascii="Arial" w:hAnsi="Arial" w:cs="Arial"/>
          <w:sz w:val="24"/>
          <w:szCs w:val="24"/>
        </w:rPr>
        <w:t>.</w:t>
      </w:r>
    </w:p>
    <w:p w:rsidR="00A42FB7" w:rsidRPr="00EF65F2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 w:val="24"/>
          <w:szCs w:val="24"/>
        </w:rPr>
      </w:pPr>
    </w:p>
    <w:p w:rsidR="00A42FB7" w:rsidRPr="00EF65F2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1.</w:t>
      </w:r>
      <w:r w:rsidRPr="00EF65F2">
        <w:rPr>
          <w:rFonts w:ascii="Arial" w:hAnsi="Arial" w:cs="Arial"/>
          <w:szCs w:val="28"/>
        </w:rPr>
        <w:t xml:space="preserve">2. Výchozí podklady, dokumentace </w:t>
      </w:r>
    </w:p>
    <w:p w:rsidR="00A42FB7" w:rsidRPr="00EF65F2" w:rsidRDefault="00A42FB7" w:rsidP="00FC7DCB">
      <w:pPr>
        <w:spacing w:before="120"/>
        <w:ind w:left="900"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Podklady:</w:t>
      </w:r>
    </w:p>
    <w:p w:rsidR="00A42FB7" w:rsidRDefault="00A42FB7" w:rsidP="00EF65F2">
      <w:pPr>
        <w:pStyle w:val="Odrka"/>
        <w:numPr>
          <w:ilvl w:val="0"/>
          <w:numId w:val="11"/>
        </w:numPr>
        <w:tabs>
          <w:tab w:val="clear" w:pos="1068"/>
          <w:tab w:val="num" w:pos="720"/>
        </w:tabs>
        <w:ind w:left="900" w:right="358" w:firstLine="0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Požadavky investora </w:t>
      </w:r>
    </w:p>
    <w:p w:rsidR="00A42FB7" w:rsidRDefault="006B16EF" w:rsidP="00EF65F2">
      <w:pPr>
        <w:pStyle w:val="Odrka"/>
        <w:numPr>
          <w:ilvl w:val="0"/>
          <w:numId w:val="11"/>
        </w:numPr>
        <w:tabs>
          <w:tab w:val="clear" w:pos="1068"/>
          <w:tab w:val="num" w:pos="720"/>
        </w:tabs>
        <w:ind w:left="900" w:right="35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Půdorysy objektu</w:t>
      </w:r>
    </w:p>
    <w:p w:rsidR="006B7561" w:rsidRPr="00EF65F2" w:rsidRDefault="006B16EF" w:rsidP="00EF65F2">
      <w:pPr>
        <w:pStyle w:val="Odrka"/>
        <w:numPr>
          <w:ilvl w:val="0"/>
          <w:numId w:val="11"/>
        </w:numPr>
        <w:tabs>
          <w:tab w:val="clear" w:pos="1068"/>
          <w:tab w:val="num" w:pos="720"/>
        </w:tabs>
        <w:ind w:left="900" w:right="35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Stávající stav objektu</w:t>
      </w:r>
    </w:p>
    <w:p w:rsidR="00A42FB7" w:rsidRPr="00EF65F2" w:rsidRDefault="00A42FB7" w:rsidP="00EF65F2">
      <w:pPr>
        <w:pStyle w:val="Odrka"/>
        <w:numPr>
          <w:ilvl w:val="0"/>
          <w:numId w:val="11"/>
        </w:numPr>
        <w:tabs>
          <w:tab w:val="clear" w:pos="1068"/>
          <w:tab w:val="num" w:pos="720"/>
        </w:tabs>
        <w:ind w:left="900" w:right="358" w:firstLine="0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Zpráva PBŘ </w:t>
      </w:r>
      <w:r w:rsidR="006B16EF">
        <w:rPr>
          <w:rFonts w:ascii="Arial" w:hAnsi="Arial" w:cs="Arial"/>
          <w:sz w:val="24"/>
          <w:szCs w:val="24"/>
        </w:rPr>
        <w:t>6/2012</w:t>
      </w:r>
      <w:r w:rsidR="006B7561">
        <w:rPr>
          <w:rFonts w:ascii="Arial" w:hAnsi="Arial" w:cs="Arial"/>
          <w:sz w:val="24"/>
          <w:szCs w:val="24"/>
        </w:rPr>
        <w:t xml:space="preserve"> zpracovaná Ing </w:t>
      </w:r>
      <w:proofErr w:type="spellStart"/>
      <w:r w:rsidR="006B16EF">
        <w:rPr>
          <w:rFonts w:ascii="Arial" w:hAnsi="Arial" w:cs="Arial"/>
          <w:sz w:val="24"/>
          <w:szCs w:val="24"/>
        </w:rPr>
        <w:t>Miklos</w:t>
      </w:r>
      <w:proofErr w:type="spellEnd"/>
      <w:r w:rsidR="006B16EF">
        <w:rPr>
          <w:rFonts w:ascii="Arial" w:hAnsi="Arial" w:cs="Arial"/>
          <w:sz w:val="24"/>
          <w:szCs w:val="24"/>
        </w:rPr>
        <w:t xml:space="preserve"> Jaroslav</w:t>
      </w:r>
      <w:r w:rsidR="004E72DF">
        <w:rPr>
          <w:rFonts w:ascii="Arial" w:hAnsi="Arial" w:cs="Arial"/>
          <w:sz w:val="24"/>
          <w:szCs w:val="24"/>
        </w:rPr>
        <w:t xml:space="preserve"> a doplnění ze dne </w:t>
      </w:r>
      <w:proofErr w:type="gramStart"/>
      <w:r w:rsidR="004E72DF">
        <w:rPr>
          <w:rFonts w:ascii="Arial" w:hAnsi="Arial" w:cs="Arial"/>
          <w:sz w:val="24"/>
          <w:szCs w:val="24"/>
        </w:rPr>
        <w:t>21.11.2012</w:t>
      </w:r>
      <w:proofErr w:type="gramEnd"/>
    </w:p>
    <w:p w:rsidR="00A42FB7" w:rsidRPr="00EF65F2" w:rsidRDefault="00A42FB7" w:rsidP="00EF65F2">
      <w:pPr>
        <w:pStyle w:val="Odrka"/>
        <w:numPr>
          <w:ilvl w:val="0"/>
          <w:numId w:val="11"/>
        </w:numPr>
        <w:tabs>
          <w:tab w:val="clear" w:pos="1068"/>
          <w:tab w:val="num" w:pos="720"/>
        </w:tabs>
        <w:ind w:left="900" w:right="358" w:firstLine="0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Technické normy a předpisy, zejména </w:t>
      </w:r>
      <w:r w:rsidR="002372A1">
        <w:rPr>
          <w:rFonts w:ascii="Arial" w:hAnsi="Arial" w:cs="Arial"/>
          <w:sz w:val="24"/>
          <w:szCs w:val="24"/>
        </w:rPr>
        <w:t>ČSN 730 833, kapitola 6.4.1 a norma ČSN EN 60 849</w:t>
      </w:r>
      <w:r>
        <w:rPr>
          <w:rFonts w:ascii="Arial" w:hAnsi="Arial" w:cs="Arial"/>
          <w:sz w:val="24"/>
          <w:szCs w:val="24"/>
        </w:rPr>
        <w:t>, 23/2008</w:t>
      </w:r>
      <w:r w:rsidR="006B7561">
        <w:rPr>
          <w:rFonts w:ascii="Arial" w:hAnsi="Arial" w:cs="Arial"/>
          <w:sz w:val="24"/>
          <w:szCs w:val="24"/>
        </w:rPr>
        <w:t>, ZP 27/2008</w:t>
      </w:r>
      <w:r>
        <w:rPr>
          <w:rFonts w:ascii="Arial" w:hAnsi="Arial" w:cs="Arial"/>
          <w:sz w:val="24"/>
          <w:szCs w:val="24"/>
        </w:rPr>
        <w:t xml:space="preserve"> </w:t>
      </w:r>
      <w:r w:rsidRPr="00EF65F2">
        <w:rPr>
          <w:rFonts w:ascii="Arial" w:hAnsi="Arial" w:cs="Arial"/>
          <w:sz w:val="24"/>
          <w:szCs w:val="24"/>
        </w:rPr>
        <w:t>a zákon ČNR č. 133/1985 Sb. ve znění pozdějších předpisů pro E</w:t>
      </w:r>
      <w:r w:rsidR="002372A1">
        <w:rPr>
          <w:rFonts w:ascii="Arial" w:hAnsi="Arial" w:cs="Arial"/>
          <w:sz w:val="24"/>
          <w:szCs w:val="24"/>
        </w:rPr>
        <w:t>RO</w:t>
      </w:r>
      <w:r>
        <w:rPr>
          <w:rFonts w:ascii="Arial" w:hAnsi="Arial" w:cs="Arial"/>
          <w:sz w:val="24"/>
          <w:szCs w:val="24"/>
        </w:rPr>
        <w:t>.</w:t>
      </w:r>
    </w:p>
    <w:p w:rsidR="00A42FB7" w:rsidRPr="005C55CE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b w:val="0"/>
          <w:i/>
          <w:sz w:val="24"/>
        </w:rPr>
      </w:pPr>
    </w:p>
    <w:p w:rsidR="00A42FB7" w:rsidRPr="00EF65F2" w:rsidRDefault="00A42FB7" w:rsidP="00EF65F2">
      <w:pPr>
        <w:ind w:left="900" w:right="358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</w:p>
    <w:p w:rsidR="00A42FB7" w:rsidRDefault="00A42FB7" w:rsidP="00EF65F2">
      <w:pPr>
        <w:ind w:left="900" w:right="358"/>
        <w:rPr>
          <w:rFonts w:ascii="Arial" w:hAnsi="Arial" w:cs="Arial"/>
          <w:sz w:val="24"/>
          <w:szCs w:val="24"/>
        </w:rPr>
      </w:pPr>
    </w:p>
    <w:p w:rsidR="00450FE4" w:rsidRDefault="00450FE4" w:rsidP="00EF65F2">
      <w:pPr>
        <w:ind w:left="900" w:right="358"/>
        <w:rPr>
          <w:rFonts w:ascii="Arial" w:hAnsi="Arial" w:cs="Arial"/>
          <w:sz w:val="24"/>
          <w:szCs w:val="24"/>
        </w:rPr>
      </w:pPr>
    </w:p>
    <w:p w:rsidR="00450FE4" w:rsidRDefault="00450FE4" w:rsidP="00EF65F2">
      <w:pPr>
        <w:ind w:left="900" w:right="358"/>
        <w:rPr>
          <w:rFonts w:ascii="Arial" w:hAnsi="Arial" w:cs="Arial"/>
          <w:sz w:val="24"/>
          <w:szCs w:val="24"/>
        </w:rPr>
      </w:pPr>
    </w:p>
    <w:p w:rsidR="00450FE4" w:rsidRDefault="00450FE4" w:rsidP="00EF65F2">
      <w:pPr>
        <w:ind w:left="900" w:right="358"/>
        <w:rPr>
          <w:rFonts w:ascii="Arial" w:hAnsi="Arial" w:cs="Arial"/>
          <w:sz w:val="24"/>
          <w:szCs w:val="24"/>
        </w:rPr>
      </w:pPr>
    </w:p>
    <w:p w:rsidR="00A42FB7" w:rsidRPr="00AB0565" w:rsidRDefault="00A42FB7" w:rsidP="00AB0565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  <w:r w:rsidRPr="00AB0565">
        <w:rPr>
          <w:rFonts w:ascii="Arial" w:hAnsi="Arial" w:cs="Arial"/>
          <w:b/>
          <w:sz w:val="28"/>
          <w:szCs w:val="28"/>
        </w:rPr>
        <w:t>EVAKUAČNÍ ROZHLAS</w:t>
      </w:r>
    </w:p>
    <w:p w:rsidR="00A42FB7" w:rsidRDefault="00A42FB7" w:rsidP="00EF65F2">
      <w:pPr>
        <w:ind w:left="900" w:right="358"/>
        <w:rPr>
          <w:rFonts w:ascii="Arial" w:hAnsi="Arial" w:cs="Arial"/>
          <w:sz w:val="24"/>
          <w:szCs w:val="24"/>
        </w:rPr>
      </w:pPr>
    </w:p>
    <w:p w:rsidR="00A42FB7" w:rsidRPr="00AB0565" w:rsidRDefault="00A42FB7" w:rsidP="00AB0565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2.</w:t>
      </w:r>
      <w:r w:rsidRPr="00AB0565">
        <w:rPr>
          <w:rFonts w:ascii="Arial" w:hAnsi="Arial" w:cs="Arial"/>
          <w:szCs w:val="28"/>
        </w:rPr>
        <w:t>1. Úvod</w:t>
      </w:r>
    </w:p>
    <w:p w:rsidR="00A42FB7" w:rsidRDefault="00A42FB7" w:rsidP="00AB0565">
      <w:pPr>
        <w:pStyle w:val="normln1"/>
        <w:ind w:left="900" w:right="718" w:firstLine="567"/>
        <w:jc w:val="both"/>
      </w:pPr>
    </w:p>
    <w:p w:rsidR="00A42FB7" w:rsidRDefault="00A42FB7" w:rsidP="00AB0565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AB0565">
        <w:rPr>
          <w:rFonts w:ascii="Arial" w:hAnsi="Arial" w:cs="Arial"/>
          <w:sz w:val="24"/>
          <w:szCs w:val="24"/>
        </w:rPr>
        <w:t xml:space="preserve">Dokumentace řeší instalaci otevřeného nouzového </w:t>
      </w:r>
      <w:proofErr w:type="gramStart"/>
      <w:r w:rsidRPr="00AB0565">
        <w:rPr>
          <w:rFonts w:ascii="Arial" w:hAnsi="Arial" w:cs="Arial"/>
          <w:sz w:val="24"/>
          <w:szCs w:val="24"/>
        </w:rPr>
        <w:t>zvukového  systému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AB0565">
        <w:rPr>
          <w:rFonts w:ascii="Arial" w:hAnsi="Arial" w:cs="Arial"/>
          <w:sz w:val="24"/>
          <w:szCs w:val="24"/>
        </w:rPr>
        <w:t xml:space="preserve">(dále systém), který splňuje požadavky   uživatele. </w:t>
      </w:r>
      <w:proofErr w:type="gramStart"/>
      <w:r w:rsidRPr="00AB0565">
        <w:rPr>
          <w:rFonts w:ascii="Arial" w:hAnsi="Arial" w:cs="Arial"/>
          <w:sz w:val="24"/>
          <w:szCs w:val="24"/>
        </w:rPr>
        <w:t>Systém,  má</w:t>
      </w:r>
      <w:proofErr w:type="gramEnd"/>
      <w:r w:rsidRPr="00AB0565">
        <w:rPr>
          <w:rFonts w:ascii="Arial" w:hAnsi="Arial" w:cs="Arial"/>
          <w:sz w:val="24"/>
          <w:szCs w:val="24"/>
        </w:rPr>
        <w:t xml:space="preserve"> dvě funkce, ozvučení prostor a vyhlášení evakuační zprávy  v případě vyhlášení požárního poplachu, nebo nucené </w:t>
      </w:r>
    </w:p>
    <w:p w:rsidR="00A42FB7" w:rsidRPr="00AB0565" w:rsidRDefault="00A42FB7" w:rsidP="00300E19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AB0565">
        <w:rPr>
          <w:rFonts w:ascii="Arial" w:hAnsi="Arial" w:cs="Arial"/>
          <w:sz w:val="24"/>
          <w:szCs w:val="24"/>
        </w:rPr>
        <w:t xml:space="preserve">evakuace osob z objektu. Mimo tuto hlavní funkci umožňuje za normálního provozu vytvoření stálé hudební kulisy v místnostech objektu s možností nastavení úrovně hlasitosti, včetně distribuce provozních, nebo reklamních hlášení v určených částech objektu. V součinnosti se systémem EPS lze automaticky spouštět digitálně </w:t>
      </w:r>
      <w:proofErr w:type="spellStart"/>
      <w:r w:rsidRPr="00AB0565">
        <w:rPr>
          <w:rFonts w:ascii="Arial" w:hAnsi="Arial" w:cs="Arial"/>
          <w:sz w:val="24"/>
          <w:szCs w:val="24"/>
        </w:rPr>
        <w:t>přednahrané</w:t>
      </w:r>
      <w:proofErr w:type="spellEnd"/>
      <w:r w:rsidRPr="00AB0565">
        <w:rPr>
          <w:rFonts w:ascii="Arial" w:hAnsi="Arial" w:cs="Arial"/>
          <w:sz w:val="24"/>
          <w:szCs w:val="24"/>
        </w:rPr>
        <w:t xml:space="preserve"> zprávy.</w:t>
      </w:r>
      <w:r w:rsidR="00F42922">
        <w:rPr>
          <w:rFonts w:ascii="Arial" w:hAnsi="Arial" w:cs="Arial"/>
          <w:sz w:val="24"/>
          <w:szCs w:val="24"/>
        </w:rPr>
        <w:t xml:space="preserve"> Nahrané zprávy jsou celkově 2 – v prvotní informace pro zaměstnance formou kódované zprávy a následně evakuační hlášení pro veřejnost vyzývající ke klidnému opuštění prostor </w:t>
      </w:r>
      <w:r w:rsidR="002372A1">
        <w:rPr>
          <w:rFonts w:ascii="Arial" w:hAnsi="Arial" w:cs="Arial"/>
          <w:sz w:val="24"/>
          <w:szCs w:val="24"/>
        </w:rPr>
        <w:t>DK</w:t>
      </w:r>
      <w:r w:rsidR="00F42922">
        <w:rPr>
          <w:rFonts w:ascii="Arial" w:hAnsi="Arial" w:cs="Arial"/>
          <w:sz w:val="24"/>
          <w:szCs w:val="24"/>
        </w:rPr>
        <w:t>.</w:t>
      </w:r>
    </w:p>
    <w:p w:rsidR="00A42FB7" w:rsidRPr="00AB0565" w:rsidRDefault="00A42FB7" w:rsidP="00AB0565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AB0565">
        <w:rPr>
          <w:rFonts w:ascii="Arial" w:hAnsi="Arial" w:cs="Arial"/>
          <w:sz w:val="24"/>
          <w:szCs w:val="24"/>
        </w:rPr>
        <w:t xml:space="preserve"> </w:t>
      </w:r>
    </w:p>
    <w:p w:rsidR="00A42FB7" w:rsidRDefault="00A42FB7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Pr="00CE1206" w:rsidRDefault="00A42FB7" w:rsidP="00CE1206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  <w:r w:rsidRPr="00CE1206">
        <w:rPr>
          <w:rFonts w:ascii="Arial" w:hAnsi="Arial" w:cs="Arial"/>
          <w:szCs w:val="28"/>
        </w:rPr>
        <w:t>2.2. Technické řešení</w:t>
      </w:r>
    </w:p>
    <w:p w:rsidR="00A42FB7" w:rsidRDefault="00A42FB7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 místnosti </w:t>
      </w:r>
      <w:r w:rsidR="002372A1">
        <w:rPr>
          <w:rFonts w:ascii="Arial" w:hAnsi="Arial" w:cs="Arial"/>
          <w:sz w:val="24"/>
          <w:szCs w:val="24"/>
        </w:rPr>
        <w:t>Prodej</w:t>
      </w:r>
      <w:r>
        <w:rPr>
          <w:rFonts w:ascii="Arial" w:hAnsi="Arial" w:cs="Arial"/>
          <w:sz w:val="24"/>
          <w:szCs w:val="24"/>
        </w:rPr>
        <w:t xml:space="preserve"> v 1NP </w:t>
      </w:r>
      <w:proofErr w:type="gramStart"/>
      <w:r>
        <w:rPr>
          <w:rFonts w:ascii="Arial" w:hAnsi="Arial" w:cs="Arial"/>
          <w:sz w:val="24"/>
          <w:szCs w:val="24"/>
        </w:rPr>
        <w:t>m.č.</w:t>
      </w:r>
      <w:proofErr w:type="gramEnd"/>
      <w:r w:rsidR="002372A1">
        <w:rPr>
          <w:rFonts w:ascii="Arial" w:hAnsi="Arial" w:cs="Arial"/>
          <w:sz w:val="24"/>
          <w:szCs w:val="24"/>
        </w:rPr>
        <w:t>B1-03</w:t>
      </w:r>
      <w:r>
        <w:rPr>
          <w:rFonts w:ascii="Arial" w:hAnsi="Arial" w:cs="Arial"/>
          <w:sz w:val="24"/>
          <w:szCs w:val="24"/>
        </w:rPr>
        <w:t xml:space="preserve"> je instalovaná nová ústředna ERO pro nově </w:t>
      </w:r>
      <w:r w:rsidR="002372A1">
        <w:rPr>
          <w:rFonts w:ascii="Arial" w:hAnsi="Arial" w:cs="Arial"/>
          <w:sz w:val="24"/>
          <w:szCs w:val="24"/>
        </w:rPr>
        <w:t>rekonstruované</w:t>
      </w:r>
      <w:r>
        <w:rPr>
          <w:rFonts w:ascii="Arial" w:hAnsi="Arial" w:cs="Arial"/>
          <w:sz w:val="24"/>
          <w:szCs w:val="24"/>
        </w:rPr>
        <w:t xml:space="preserve"> části </w:t>
      </w:r>
      <w:r w:rsidR="002372A1">
        <w:rPr>
          <w:rFonts w:ascii="Arial" w:hAnsi="Arial" w:cs="Arial"/>
          <w:sz w:val="24"/>
          <w:szCs w:val="24"/>
        </w:rPr>
        <w:t>DK</w:t>
      </w:r>
      <w:r>
        <w:rPr>
          <w:rFonts w:ascii="Arial" w:hAnsi="Arial" w:cs="Arial"/>
          <w:sz w:val="24"/>
          <w:szCs w:val="24"/>
        </w:rPr>
        <w:t>, kde je dodána řídící jednotka s patřičným počtem zesilovačů.</w:t>
      </w:r>
    </w:p>
    <w:p w:rsidR="00A42FB7" w:rsidRDefault="00A42FB7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výstupní linky řídící jednotky jsou připojeny jednotlivé linky reproduktorů. Na alarmové vstupy pak jsou přivedeny ovládací signály z  EPS umožňující automatické přehrávaní předehraných zpráv.</w:t>
      </w:r>
    </w:p>
    <w:p w:rsidR="00A42FB7" w:rsidRDefault="00A42FB7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Systém je doplněn o evakuační mikrofon.</w:t>
      </w:r>
    </w:p>
    <w:p w:rsidR="00BE4626" w:rsidRDefault="00BE4626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Napájení systému ERO je provedeno v souladu s EN54 – využití zálohovaného zdroje s kapacitou na minimálně 15 minut požárního hlášení.</w:t>
      </w:r>
    </w:p>
    <w:p w:rsidR="00A42FB7" w:rsidRDefault="00A42FB7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CE1206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  <w:r w:rsidRPr="00CE1206">
        <w:rPr>
          <w:rFonts w:ascii="Arial" w:hAnsi="Arial" w:cs="Arial"/>
          <w:szCs w:val="28"/>
        </w:rPr>
        <w:t>2.</w:t>
      </w:r>
      <w:r>
        <w:rPr>
          <w:rFonts w:ascii="Arial" w:hAnsi="Arial" w:cs="Arial"/>
          <w:szCs w:val="28"/>
        </w:rPr>
        <w:t>3</w:t>
      </w:r>
      <w:r w:rsidRPr="00CE1206">
        <w:rPr>
          <w:rFonts w:ascii="Arial" w:hAnsi="Arial" w:cs="Arial"/>
          <w:szCs w:val="28"/>
        </w:rPr>
        <w:t xml:space="preserve">. </w:t>
      </w:r>
      <w:r>
        <w:rPr>
          <w:rFonts w:ascii="Arial" w:hAnsi="Arial" w:cs="Arial"/>
          <w:szCs w:val="28"/>
        </w:rPr>
        <w:t>Rozmístění reproduktorů</w:t>
      </w:r>
    </w:p>
    <w:p w:rsidR="00A42FB7" w:rsidRDefault="00A42FB7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Reproduktory js</w:t>
      </w:r>
      <w:r w:rsidRPr="00CE1206">
        <w:rPr>
          <w:rFonts w:ascii="Arial" w:hAnsi="Arial" w:cs="Arial"/>
          <w:sz w:val="24"/>
          <w:szCs w:val="24"/>
        </w:rPr>
        <w:t>ou rozmístěny dle přiložené výkresové dokumentace v souladu s PBŘ stavby</w:t>
      </w:r>
      <w:r>
        <w:rPr>
          <w:rFonts w:ascii="Arial" w:hAnsi="Arial" w:cs="Arial"/>
          <w:sz w:val="24"/>
          <w:szCs w:val="24"/>
        </w:rPr>
        <w:t>.</w:t>
      </w:r>
    </w:p>
    <w:p w:rsidR="00A42FB7" w:rsidRDefault="00A42FB7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Jsou použity nástěnné, případně podhledové reproduktory v společných </w:t>
      </w:r>
      <w:r w:rsidR="00300E19">
        <w:rPr>
          <w:rFonts w:ascii="Arial" w:hAnsi="Arial" w:cs="Arial"/>
          <w:sz w:val="24"/>
          <w:szCs w:val="24"/>
        </w:rPr>
        <w:t xml:space="preserve">prostorech </w:t>
      </w:r>
      <w:r>
        <w:rPr>
          <w:rFonts w:ascii="Arial" w:hAnsi="Arial" w:cs="Arial"/>
          <w:sz w:val="24"/>
          <w:szCs w:val="24"/>
        </w:rPr>
        <w:t>a technické</w:t>
      </w:r>
      <w:r w:rsidR="00300E19">
        <w:rPr>
          <w:rFonts w:ascii="Arial" w:hAnsi="Arial" w:cs="Arial"/>
          <w:sz w:val="24"/>
          <w:szCs w:val="24"/>
        </w:rPr>
        <w:t>ho</w:t>
      </w:r>
      <w:r>
        <w:rPr>
          <w:rFonts w:ascii="Arial" w:hAnsi="Arial" w:cs="Arial"/>
          <w:sz w:val="24"/>
          <w:szCs w:val="24"/>
        </w:rPr>
        <w:t xml:space="preserve"> zázemí. Při aktivaci ústředny dojde k automatickému přehrání evakuačních zpráv do zvolených reproduktorových linek.</w:t>
      </w:r>
    </w:p>
    <w:p w:rsidR="00A42FB7" w:rsidRDefault="00A42FB7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AA5709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  <w:r w:rsidRPr="00CE1206">
        <w:rPr>
          <w:rFonts w:ascii="Arial" w:hAnsi="Arial" w:cs="Arial"/>
          <w:szCs w:val="28"/>
        </w:rPr>
        <w:t>2.</w:t>
      </w:r>
      <w:r>
        <w:rPr>
          <w:rFonts w:ascii="Arial" w:hAnsi="Arial" w:cs="Arial"/>
          <w:szCs w:val="28"/>
        </w:rPr>
        <w:t>4</w:t>
      </w:r>
      <w:r w:rsidRPr="00CE1206">
        <w:rPr>
          <w:rFonts w:ascii="Arial" w:hAnsi="Arial" w:cs="Arial"/>
          <w:szCs w:val="28"/>
        </w:rPr>
        <w:t xml:space="preserve">. </w:t>
      </w:r>
      <w:r>
        <w:rPr>
          <w:rFonts w:ascii="Arial" w:hAnsi="Arial" w:cs="Arial"/>
          <w:szCs w:val="28"/>
        </w:rPr>
        <w:t>Návaznosti na EPS</w:t>
      </w:r>
    </w:p>
    <w:p w:rsidR="00BE4626" w:rsidRDefault="00BE4626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 ústředny EPS j</w:t>
      </w:r>
      <w:r w:rsidRPr="00AA5709">
        <w:rPr>
          <w:rFonts w:ascii="Arial" w:hAnsi="Arial" w:cs="Arial"/>
          <w:sz w:val="24"/>
          <w:szCs w:val="24"/>
        </w:rPr>
        <w:t xml:space="preserve">e doveden beznapěťový výstup na vstupní kontakty řídící jednotky ERO. Tyto vstupy aktivují automatické </w:t>
      </w:r>
      <w:proofErr w:type="spellStart"/>
      <w:r w:rsidRPr="00AA5709">
        <w:rPr>
          <w:rFonts w:ascii="Arial" w:hAnsi="Arial" w:cs="Arial"/>
          <w:sz w:val="24"/>
          <w:szCs w:val="24"/>
        </w:rPr>
        <w:t>přehrátí</w:t>
      </w:r>
      <w:proofErr w:type="spellEnd"/>
      <w:r w:rsidRPr="00AA5709">
        <w:rPr>
          <w:rFonts w:ascii="Arial" w:hAnsi="Arial" w:cs="Arial"/>
          <w:sz w:val="24"/>
          <w:szCs w:val="24"/>
        </w:rPr>
        <w:t xml:space="preserve"> evakuačních zpráv.</w:t>
      </w:r>
    </w:p>
    <w:p w:rsidR="00BE4626" w:rsidRPr="00AA5709" w:rsidRDefault="00BE4626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Systém ERO dává do systému EPS sumární poruchu a poruchu napájení.</w:t>
      </w:r>
    </w:p>
    <w:p w:rsidR="00A42FB7" w:rsidRPr="00CE1206" w:rsidRDefault="00A42FB7" w:rsidP="00AA5709">
      <w:pPr>
        <w:tabs>
          <w:tab w:val="left" w:pos="2685"/>
        </w:tabs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3A6FAC" w:rsidRDefault="003A6FAC" w:rsidP="00AA5709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</w:p>
    <w:p w:rsidR="00A42FB7" w:rsidRDefault="00A42FB7" w:rsidP="00AA5709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  <w:r w:rsidRPr="00CE1206">
        <w:rPr>
          <w:rFonts w:ascii="Arial" w:hAnsi="Arial" w:cs="Arial"/>
          <w:szCs w:val="28"/>
        </w:rPr>
        <w:t>2.</w:t>
      </w:r>
      <w:r>
        <w:rPr>
          <w:rFonts w:ascii="Arial" w:hAnsi="Arial" w:cs="Arial"/>
          <w:szCs w:val="28"/>
        </w:rPr>
        <w:t>5</w:t>
      </w:r>
      <w:r w:rsidRPr="00CE1206">
        <w:rPr>
          <w:rFonts w:ascii="Arial" w:hAnsi="Arial" w:cs="Arial"/>
          <w:szCs w:val="28"/>
        </w:rPr>
        <w:t xml:space="preserve">. </w:t>
      </w:r>
      <w:r>
        <w:rPr>
          <w:rFonts w:ascii="Arial" w:hAnsi="Arial" w:cs="Arial"/>
          <w:szCs w:val="28"/>
        </w:rPr>
        <w:t>Kabelové rozvody</w:t>
      </w:r>
    </w:p>
    <w:p w:rsidR="00A42FB7" w:rsidRPr="00AA5709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AA5709">
        <w:rPr>
          <w:rFonts w:ascii="Arial" w:hAnsi="Arial" w:cs="Arial"/>
          <w:sz w:val="24"/>
          <w:szCs w:val="24"/>
        </w:rPr>
        <w:t xml:space="preserve">Montáž zařízení, pokládka trubek a montáž kabelových rozvodů je provedena podle: </w:t>
      </w:r>
    </w:p>
    <w:p w:rsidR="00A42FB7" w:rsidRPr="00AA5709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AA5709">
        <w:rPr>
          <w:rFonts w:ascii="Arial" w:hAnsi="Arial" w:cs="Arial"/>
          <w:sz w:val="24"/>
          <w:szCs w:val="24"/>
        </w:rPr>
        <w:t>ČSN 332000-1 Elektrotechnické předpisy. Elektrická zařízení. Část 1: Základní ustanovení pro elektrická zařízení.</w:t>
      </w:r>
    </w:p>
    <w:p w:rsidR="00A42FB7" w:rsidRPr="00AA5709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AA5709">
        <w:rPr>
          <w:rFonts w:ascii="Arial" w:hAnsi="Arial" w:cs="Arial"/>
          <w:sz w:val="24"/>
          <w:szCs w:val="24"/>
        </w:rPr>
        <w:t>ČSN 332000-4-41 Elektrotechnické předpisy. Elektrická zařízení. Část 4:Bezpečnost Kapitola 41: Ochrana před úrazem elektrickým proudem.</w:t>
      </w:r>
    </w:p>
    <w:p w:rsidR="00A42FB7" w:rsidRPr="00AA5709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AA5709">
        <w:rPr>
          <w:rFonts w:ascii="Arial" w:hAnsi="Arial" w:cs="Arial"/>
          <w:sz w:val="24"/>
          <w:szCs w:val="24"/>
        </w:rPr>
        <w:t>ČSN  332000-6-61 Elektrotechnické předpisy. Elektrická zařízení. Část 6:Revize Kapitola 61: Postupy při výchozí revizi.</w:t>
      </w:r>
    </w:p>
    <w:p w:rsidR="00A42FB7" w:rsidRPr="00AA5709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AA5709">
        <w:rPr>
          <w:rFonts w:ascii="Arial" w:hAnsi="Arial" w:cs="Arial"/>
          <w:sz w:val="24"/>
          <w:szCs w:val="24"/>
        </w:rPr>
        <w:t>ČSN 332000-5-54 Elektrotechnické předpisy. Elektrická zařízení. Část 5:Výběr a stavba elektrických zařízení. Kapitola 54: Uzemnění a ochranné vodiče.</w:t>
      </w:r>
    </w:p>
    <w:p w:rsidR="00A42FB7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AA5709">
        <w:rPr>
          <w:rFonts w:ascii="Arial" w:hAnsi="Arial" w:cs="Arial"/>
          <w:sz w:val="24"/>
          <w:szCs w:val="24"/>
        </w:rPr>
        <w:t xml:space="preserve">V souladu s ČSN 332000-5-51 Elektrotechnické předpisy. Elektrická zařízení. Část 5:Výběr a stavba elektrických zařízení. Kapitola 51: Všeobecné předpisy, je vedení uspořádáno nebo </w:t>
      </w:r>
    </w:p>
    <w:p w:rsidR="00A42FB7" w:rsidRPr="00AA5709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AA5709">
        <w:rPr>
          <w:rFonts w:ascii="Arial" w:hAnsi="Arial" w:cs="Arial"/>
          <w:sz w:val="24"/>
          <w:szCs w:val="24"/>
        </w:rPr>
        <w:t xml:space="preserve">označeno tak, aby </w:t>
      </w:r>
      <w:proofErr w:type="gramStart"/>
      <w:r w:rsidRPr="00AA5709">
        <w:rPr>
          <w:rFonts w:ascii="Arial" w:hAnsi="Arial" w:cs="Arial"/>
          <w:sz w:val="24"/>
          <w:szCs w:val="24"/>
        </w:rPr>
        <w:t>bylo  identifikovatelné</w:t>
      </w:r>
      <w:proofErr w:type="gramEnd"/>
      <w:r w:rsidRPr="00AA5709">
        <w:rPr>
          <w:rFonts w:ascii="Arial" w:hAnsi="Arial" w:cs="Arial"/>
          <w:sz w:val="24"/>
          <w:szCs w:val="24"/>
        </w:rPr>
        <w:t xml:space="preserve"> při inspekci, zkoušení, opravách nebo úpravách. Pro souběh rozvodů místního rozhlasu se silnoproudým vedením </w:t>
      </w:r>
      <w:proofErr w:type="spellStart"/>
      <w:r w:rsidRPr="00AA5709">
        <w:rPr>
          <w:rFonts w:ascii="Arial" w:hAnsi="Arial" w:cs="Arial"/>
          <w:sz w:val="24"/>
          <w:szCs w:val="24"/>
        </w:rPr>
        <w:t>nn</w:t>
      </w:r>
      <w:proofErr w:type="spellEnd"/>
      <w:r w:rsidRPr="00AA5709">
        <w:rPr>
          <w:rFonts w:ascii="Arial" w:hAnsi="Arial" w:cs="Arial"/>
          <w:sz w:val="24"/>
          <w:szCs w:val="24"/>
        </w:rPr>
        <w:t xml:space="preserve"> z pohledu bezpečnosti platí ustanovení ČSN 33 2000-5-52 Elektrická zařízení-Část 5: Výběr a stavba elektrických zařízení-Kapitola 52: Výběr soustav a stavba vedení.</w:t>
      </w:r>
    </w:p>
    <w:p w:rsidR="00A42FB7" w:rsidRPr="00AA5709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Pr="00AA5709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AA5709">
        <w:rPr>
          <w:rFonts w:ascii="Arial" w:hAnsi="Arial" w:cs="Arial"/>
          <w:sz w:val="24"/>
          <w:szCs w:val="24"/>
        </w:rPr>
        <w:t xml:space="preserve">Protože je Evakuační  ozvučení  zařízení požárně bezpečnostní, je použito kabelů atestovaných podle IEC 331. V místech, kde kabely </w:t>
      </w:r>
      <w:proofErr w:type="gramStart"/>
      <w:r w:rsidRPr="00AA5709">
        <w:rPr>
          <w:rFonts w:ascii="Arial" w:hAnsi="Arial" w:cs="Arial"/>
          <w:sz w:val="24"/>
          <w:szCs w:val="24"/>
        </w:rPr>
        <w:t>procházejí</w:t>
      </w:r>
      <w:proofErr w:type="gramEnd"/>
      <w:r w:rsidRPr="00AA5709">
        <w:rPr>
          <w:rFonts w:ascii="Arial" w:hAnsi="Arial" w:cs="Arial"/>
          <w:sz w:val="24"/>
          <w:szCs w:val="24"/>
        </w:rPr>
        <w:t xml:space="preserve"> chráněnou únikovou cestou </w:t>
      </w:r>
      <w:proofErr w:type="gramStart"/>
      <w:r w:rsidRPr="00AA5709">
        <w:rPr>
          <w:rFonts w:ascii="Arial" w:hAnsi="Arial" w:cs="Arial"/>
          <w:sz w:val="24"/>
          <w:szCs w:val="24"/>
        </w:rPr>
        <w:t>mají</w:t>
      </w:r>
      <w:proofErr w:type="gramEnd"/>
      <w:r w:rsidRPr="00AA5709">
        <w:rPr>
          <w:rFonts w:ascii="Arial" w:hAnsi="Arial" w:cs="Arial"/>
          <w:sz w:val="24"/>
          <w:szCs w:val="24"/>
        </w:rPr>
        <w:t xml:space="preserve"> izolaci se sníženou hořlavostí kategorie B dle ČSN IEC 332-3.</w:t>
      </w:r>
      <w:r w:rsidR="00BE4626">
        <w:rPr>
          <w:rFonts w:ascii="Arial" w:hAnsi="Arial" w:cs="Arial"/>
          <w:sz w:val="24"/>
          <w:szCs w:val="24"/>
        </w:rPr>
        <w:t xml:space="preserve"> Všechny instalované kabely jsou v souladu s </w:t>
      </w:r>
      <w:proofErr w:type="spellStart"/>
      <w:r w:rsidR="00BE4626">
        <w:rPr>
          <w:rFonts w:ascii="Arial" w:hAnsi="Arial" w:cs="Arial"/>
          <w:sz w:val="24"/>
          <w:szCs w:val="24"/>
        </w:rPr>
        <w:t>vyhl</w:t>
      </w:r>
      <w:proofErr w:type="spellEnd"/>
      <w:r w:rsidR="00BE4626">
        <w:rPr>
          <w:rFonts w:ascii="Arial" w:hAnsi="Arial" w:cs="Arial"/>
          <w:sz w:val="24"/>
          <w:szCs w:val="24"/>
        </w:rPr>
        <w:t xml:space="preserve"> 23/2008 </w:t>
      </w:r>
      <w:proofErr w:type="spellStart"/>
      <w:r w:rsidR="00BE4626">
        <w:rPr>
          <w:rFonts w:ascii="Arial" w:hAnsi="Arial" w:cs="Arial"/>
          <w:sz w:val="24"/>
          <w:szCs w:val="24"/>
        </w:rPr>
        <w:t>sb</w:t>
      </w:r>
      <w:proofErr w:type="spellEnd"/>
      <w:r w:rsidR="00BE4626">
        <w:rPr>
          <w:rFonts w:ascii="Arial" w:hAnsi="Arial" w:cs="Arial"/>
          <w:sz w:val="24"/>
          <w:szCs w:val="24"/>
        </w:rPr>
        <w:t xml:space="preserve"> a jejich uložení v souladu se ZP27/2008.</w:t>
      </w:r>
    </w:p>
    <w:p w:rsidR="00A42FB7" w:rsidRPr="00AA5709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AA5709">
        <w:rPr>
          <w:rFonts w:ascii="Arial" w:hAnsi="Arial" w:cs="Arial"/>
          <w:sz w:val="24"/>
          <w:szCs w:val="24"/>
        </w:rPr>
        <w:t>Trasy vedení jsou vedeny v samostatné izolované drážce (v případě souběhu s EPS) nebo zcela samostatně v požárně odolném žlabu se zachováním fu</w:t>
      </w:r>
      <w:r>
        <w:rPr>
          <w:rFonts w:ascii="Arial" w:hAnsi="Arial" w:cs="Arial"/>
          <w:sz w:val="24"/>
          <w:szCs w:val="24"/>
        </w:rPr>
        <w:t>n</w:t>
      </w:r>
      <w:r w:rsidRPr="00AA5709">
        <w:rPr>
          <w:rFonts w:ascii="Arial" w:hAnsi="Arial" w:cs="Arial"/>
          <w:sz w:val="24"/>
          <w:szCs w:val="24"/>
        </w:rPr>
        <w:t xml:space="preserve">kčnosti. Od žlabu potom případně k jednotlivým reproduktorům na nehořlavých příchytkách.  Rozvod PA v úrovni 100V má charakter nízkého napětí. Pro připojení reproduktorů je použit 100 V rozvod.  </w:t>
      </w:r>
    </w:p>
    <w:p w:rsidR="00A42FB7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300E19" w:rsidRDefault="00300E19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A6FAC" w:rsidRDefault="003A6FAC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300E19" w:rsidRPr="00EF65F2" w:rsidRDefault="00300E19" w:rsidP="00CE1206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Pr="00EF65F2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Pr="00EF65F2" w:rsidRDefault="00A42FB7" w:rsidP="00EF65F2">
      <w:pPr>
        <w:ind w:left="900" w:right="358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      Dne </w:t>
      </w:r>
      <w:r w:rsidR="004E72DF"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z w:val="24"/>
          <w:szCs w:val="24"/>
        </w:rPr>
        <w:t>/201</w:t>
      </w:r>
      <w:r w:rsidR="00C526C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Petr Kryštof</w:t>
      </w:r>
    </w:p>
    <w:p w:rsidR="00A42FB7" w:rsidRPr="00EF65F2" w:rsidRDefault="00A42FB7" w:rsidP="00EF65F2">
      <w:pPr>
        <w:ind w:left="900" w:right="358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EF65F2">
        <w:rPr>
          <w:rFonts w:ascii="Arial" w:hAnsi="Arial" w:cs="Arial"/>
          <w:sz w:val="24"/>
          <w:szCs w:val="24"/>
        </w:rPr>
        <w:t xml:space="preserve"> </w:t>
      </w:r>
    </w:p>
    <w:p w:rsidR="00A42FB7" w:rsidRPr="00EF65F2" w:rsidRDefault="00A42FB7" w:rsidP="00EF65F2">
      <w:pPr>
        <w:ind w:left="900" w:right="358"/>
        <w:rPr>
          <w:sz w:val="24"/>
          <w:szCs w:val="24"/>
        </w:rPr>
      </w:pPr>
    </w:p>
    <w:p w:rsidR="00A42FB7" w:rsidRDefault="00A42FB7" w:rsidP="00EF65F2">
      <w:pPr>
        <w:ind w:left="900" w:right="358"/>
      </w:pPr>
    </w:p>
    <w:p w:rsidR="00A42FB7" w:rsidRDefault="00A42FB7">
      <w:pPr>
        <w:ind w:left="2160"/>
      </w:pPr>
    </w:p>
    <w:sectPr w:rsidR="00A42FB7" w:rsidSect="00633AE0">
      <w:footerReference w:type="default" r:id="rId9"/>
      <w:headerReference w:type="first" r:id="rId10"/>
      <w:footerReference w:type="first" r:id="rId11"/>
      <w:pgSz w:w="11906" w:h="16838" w:code="9"/>
      <w:pgMar w:top="1418" w:right="284" w:bottom="1135" w:left="284" w:header="53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2A1" w:rsidRDefault="002372A1">
      <w:r>
        <w:separator/>
      </w:r>
    </w:p>
  </w:endnote>
  <w:endnote w:type="continuationSeparator" w:id="0">
    <w:p w:rsidR="002372A1" w:rsidRDefault="0023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2A1" w:rsidRDefault="002372A1" w:rsidP="00633AE0">
    <w:pPr>
      <w:tabs>
        <w:tab w:val="right" w:pos="8435"/>
      </w:tabs>
      <w:snapToGrid w:val="0"/>
      <w:ind w:left="-70"/>
      <w:rPr>
        <w:sz w:val="18"/>
      </w:rPr>
    </w:pPr>
    <w:r>
      <w:rPr>
        <w:sz w:val="18"/>
      </w:rPr>
      <w:t xml:space="preserve">                07/2012</w:t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  <w:t>Kroměříž</w:t>
    </w:r>
  </w:p>
  <w:p w:rsidR="002372A1" w:rsidRDefault="002372A1" w:rsidP="00633AE0">
    <w:pPr>
      <w:pStyle w:val="Zpat"/>
    </w:pPr>
  </w:p>
  <w:p w:rsidR="002372A1" w:rsidRDefault="002372A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2A1" w:rsidRDefault="002372A1" w:rsidP="00C80724">
    <w:pPr>
      <w:tabs>
        <w:tab w:val="right" w:pos="8435"/>
      </w:tabs>
      <w:snapToGrid w:val="0"/>
      <w:ind w:left="-70"/>
      <w:rPr>
        <w:sz w:val="18"/>
      </w:rPr>
    </w:pPr>
    <w:r>
      <w:rPr>
        <w:sz w:val="18"/>
      </w:rPr>
      <w:t xml:space="preserve">                     7/2012</w:t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  <w:t>Kroměříž</w:t>
    </w:r>
  </w:p>
  <w:p w:rsidR="002372A1" w:rsidRDefault="002372A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2A1" w:rsidRDefault="002372A1">
      <w:r>
        <w:separator/>
      </w:r>
    </w:p>
  </w:footnote>
  <w:footnote w:type="continuationSeparator" w:id="0">
    <w:p w:rsidR="002372A1" w:rsidRDefault="00237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2A1" w:rsidRDefault="002372A1" w:rsidP="00113D7B">
    <w:pPr>
      <w:pStyle w:val="Zhlav"/>
      <w:jc w:val="both"/>
      <w:rPr>
        <w:rFonts w:ascii="Arial" w:hAnsi="Arial"/>
      </w:rPr>
    </w:pPr>
    <w:r>
      <w:rPr>
        <w:rFonts w:ascii="Arial" w:hAnsi="Arial"/>
      </w:rPr>
      <w:t xml:space="preserve"> Rekonstrukce DK POKLAD</w:t>
    </w:r>
    <w:r>
      <w:rPr>
        <w:rFonts w:ascii="Arial" w:hAnsi="Arial"/>
      </w:rPr>
      <w:tab/>
    </w:r>
    <w:r>
      <w:rPr>
        <w:rFonts w:ascii="Arial" w:hAnsi="Arial"/>
      </w:rPr>
      <w:tab/>
      <w:t>EVAKUAČNÍ ROZHLAS</w:t>
    </w:r>
  </w:p>
  <w:p w:rsidR="002372A1" w:rsidRDefault="002372A1" w:rsidP="00113D7B">
    <w:pPr>
      <w:pStyle w:val="Zhlav"/>
      <w:jc w:val="both"/>
      <w:rPr>
        <w:rFonts w:ascii="Arial" w:hAnsi="Arial"/>
        <w:b/>
        <w:sz w:val="16"/>
        <w:u w:val="single"/>
      </w:rPr>
    </w:pPr>
    <w:r>
      <w:rPr>
        <w:rFonts w:ascii="Arial" w:hAnsi="Arial"/>
      </w:rPr>
      <w:t xml:space="preserve">Dokumentace pro </w:t>
    </w:r>
    <w:r w:rsidR="004E72DF">
      <w:rPr>
        <w:rFonts w:ascii="Arial" w:hAnsi="Arial"/>
      </w:rPr>
      <w:t>provádění stavby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B75"/>
    <w:multiLevelType w:val="hybridMultilevel"/>
    <w:tmpl w:val="859EA030"/>
    <w:lvl w:ilvl="0" w:tplc="D84A099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506DB1"/>
    <w:multiLevelType w:val="hybridMultilevel"/>
    <w:tmpl w:val="FC7A78E8"/>
    <w:lvl w:ilvl="0" w:tplc="BC302384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185113B5"/>
    <w:multiLevelType w:val="hybridMultilevel"/>
    <w:tmpl w:val="715A131A"/>
    <w:lvl w:ilvl="0" w:tplc="B92E9616">
      <w:start w:val="1"/>
      <w:numFmt w:val="bullet"/>
      <w:pStyle w:val="Odrka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</w:rPr>
    </w:lvl>
    <w:lvl w:ilvl="1" w:tplc="30BE541A" w:tentative="1">
      <w:start w:val="1"/>
      <w:numFmt w:val="bullet"/>
      <w:lvlText w:val="o"/>
      <w:lvlJc w:val="left"/>
      <w:pPr>
        <w:tabs>
          <w:tab w:val="num" w:pos="3488"/>
        </w:tabs>
        <w:ind w:left="3488" w:hanging="360"/>
      </w:pPr>
      <w:rPr>
        <w:rFonts w:ascii="Courier New" w:hAnsi="Courier New" w:hint="default"/>
      </w:rPr>
    </w:lvl>
    <w:lvl w:ilvl="2" w:tplc="DADCD742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</w:rPr>
    </w:lvl>
    <w:lvl w:ilvl="3" w:tplc="85904E34" w:tentative="1">
      <w:start w:val="1"/>
      <w:numFmt w:val="bullet"/>
      <w:lvlText w:val=""/>
      <w:lvlJc w:val="left"/>
      <w:pPr>
        <w:tabs>
          <w:tab w:val="num" w:pos="4928"/>
        </w:tabs>
        <w:ind w:left="4928" w:hanging="360"/>
      </w:pPr>
      <w:rPr>
        <w:rFonts w:ascii="Symbol" w:hAnsi="Symbol" w:hint="default"/>
      </w:rPr>
    </w:lvl>
    <w:lvl w:ilvl="4" w:tplc="91D288F2" w:tentative="1">
      <w:start w:val="1"/>
      <w:numFmt w:val="bullet"/>
      <w:lvlText w:val="o"/>
      <w:lvlJc w:val="left"/>
      <w:pPr>
        <w:tabs>
          <w:tab w:val="num" w:pos="5648"/>
        </w:tabs>
        <w:ind w:left="5648" w:hanging="360"/>
      </w:pPr>
      <w:rPr>
        <w:rFonts w:ascii="Courier New" w:hAnsi="Courier New" w:hint="default"/>
      </w:rPr>
    </w:lvl>
    <w:lvl w:ilvl="5" w:tplc="52A85758" w:tentative="1">
      <w:start w:val="1"/>
      <w:numFmt w:val="bullet"/>
      <w:lvlText w:val=""/>
      <w:lvlJc w:val="left"/>
      <w:pPr>
        <w:tabs>
          <w:tab w:val="num" w:pos="6368"/>
        </w:tabs>
        <w:ind w:left="6368" w:hanging="360"/>
      </w:pPr>
      <w:rPr>
        <w:rFonts w:ascii="Wingdings" w:hAnsi="Wingdings" w:hint="default"/>
      </w:rPr>
    </w:lvl>
    <w:lvl w:ilvl="6" w:tplc="32008358" w:tentative="1">
      <w:start w:val="1"/>
      <w:numFmt w:val="bullet"/>
      <w:lvlText w:val=""/>
      <w:lvlJc w:val="left"/>
      <w:pPr>
        <w:tabs>
          <w:tab w:val="num" w:pos="7088"/>
        </w:tabs>
        <w:ind w:left="7088" w:hanging="360"/>
      </w:pPr>
      <w:rPr>
        <w:rFonts w:ascii="Symbol" w:hAnsi="Symbol" w:hint="default"/>
      </w:rPr>
    </w:lvl>
    <w:lvl w:ilvl="7" w:tplc="4C920842" w:tentative="1">
      <w:start w:val="1"/>
      <w:numFmt w:val="bullet"/>
      <w:lvlText w:val="o"/>
      <w:lvlJc w:val="left"/>
      <w:pPr>
        <w:tabs>
          <w:tab w:val="num" w:pos="7808"/>
        </w:tabs>
        <w:ind w:left="7808" w:hanging="360"/>
      </w:pPr>
      <w:rPr>
        <w:rFonts w:ascii="Courier New" w:hAnsi="Courier New" w:hint="default"/>
      </w:rPr>
    </w:lvl>
    <w:lvl w:ilvl="8" w:tplc="42E22FA8" w:tentative="1">
      <w:start w:val="1"/>
      <w:numFmt w:val="bullet"/>
      <w:lvlText w:val=""/>
      <w:lvlJc w:val="left"/>
      <w:pPr>
        <w:tabs>
          <w:tab w:val="num" w:pos="8528"/>
        </w:tabs>
        <w:ind w:left="8528" w:hanging="360"/>
      </w:pPr>
      <w:rPr>
        <w:rFonts w:ascii="Wingdings" w:hAnsi="Wingdings" w:hint="default"/>
      </w:rPr>
    </w:lvl>
  </w:abstractNum>
  <w:abstractNum w:abstractNumId="3">
    <w:nsid w:val="1CB87E9E"/>
    <w:multiLevelType w:val="singleLevel"/>
    <w:tmpl w:val="52702A1A"/>
    <w:lvl w:ilvl="0">
      <w:start w:val="1"/>
      <w:numFmt w:val="decimal"/>
      <w:pStyle w:val="1nadpis1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0"/>
        <w:szCs w:val="20"/>
      </w:rPr>
    </w:lvl>
  </w:abstractNum>
  <w:abstractNum w:abstractNumId="4">
    <w:nsid w:val="293F0917"/>
    <w:multiLevelType w:val="hybridMultilevel"/>
    <w:tmpl w:val="95FEDD82"/>
    <w:lvl w:ilvl="0" w:tplc="D84A099A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64469A"/>
    <w:multiLevelType w:val="hybridMultilevel"/>
    <w:tmpl w:val="7D686724"/>
    <w:lvl w:ilvl="0" w:tplc="8A72BE6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423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310EC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7A23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E452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D8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9497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3C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C90A0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F95BE1"/>
    <w:multiLevelType w:val="hybridMultilevel"/>
    <w:tmpl w:val="3F9A8084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56D21BE"/>
    <w:multiLevelType w:val="hybridMultilevel"/>
    <w:tmpl w:val="7B70DA06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4D406441"/>
    <w:multiLevelType w:val="multilevel"/>
    <w:tmpl w:val="7D6867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8E7B95"/>
    <w:multiLevelType w:val="hybridMultilevel"/>
    <w:tmpl w:val="A0CE67D8"/>
    <w:lvl w:ilvl="0" w:tplc="510A7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A47A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06427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6F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6AAE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E016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2A15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147C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C8AAA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FD77BF"/>
    <w:multiLevelType w:val="hybridMultilevel"/>
    <w:tmpl w:val="C302AC06"/>
    <w:lvl w:ilvl="0" w:tplc="CC902FF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56036C6E"/>
    <w:multiLevelType w:val="hybridMultilevel"/>
    <w:tmpl w:val="2A1E0F18"/>
    <w:lvl w:ilvl="0" w:tplc="4F1C71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C82E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77C30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68D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A54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0ECA9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AF8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E97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2B40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254DDA"/>
    <w:multiLevelType w:val="hybridMultilevel"/>
    <w:tmpl w:val="DC4A7ED6"/>
    <w:lvl w:ilvl="0" w:tplc="D84A099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17416E"/>
    <w:multiLevelType w:val="multilevel"/>
    <w:tmpl w:val="E98656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D96F37"/>
    <w:multiLevelType w:val="multilevel"/>
    <w:tmpl w:val="2A1E0F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367E1A"/>
    <w:multiLevelType w:val="hybridMultilevel"/>
    <w:tmpl w:val="E9865674"/>
    <w:lvl w:ilvl="0" w:tplc="711A5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4CB7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50A5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32DF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E8A0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7019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241B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269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AC68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725365"/>
    <w:multiLevelType w:val="hybridMultilevel"/>
    <w:tmpl w:val="02E0A28E"/>
    <w:lvl w:ilvl="0" w:tplc="D84A099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4673A4"/>
    <w:multiLevelType w:val="hybridMultilevel"/>
    <w:tmpl w:val="41EA00FA"/>
    <w:lvl w:ilvl="0" w:tplc="D84A099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5"/>
  </w:num>
  <w:num w:numId="4">
    <w:abstractNumId w:val="13"/>
  </w:num>
  <w:num w:numId="5">
    <w:abstractNumId w:val="11"/>
  </w:num>
  <w:num w:numId="6">
    <w:abstractNumId w:val="14"/>
  </w:num>
  <w:num w:numId="7">
    <w:abstractNumId w:val="9"/>
  </w:num>
  <w:num w:numId="8">
    <w:abstractNumId w:val="2"/>
  </w:num>
  <w:num w:numId="9">
    <w:abstractNumId w:val="3"/>
  </w:num>
  <w:num w:numId="10">
    <w:abstractNumId w:val="1"/>
  </w:num>
  <w:num w:numId="11">
    <w:abstractNumId w:val="7"/>
  </w:num>
  <w:num w:numId="12">
    <w:abstractNumId w:val="4"/>
  </w:num>
  <w:num w:numId="13">
    <w:abstractNumId w:val="16"/>
  </w:num>
  <w:num w:numId="14">
    <w:abstractNumId w:val="12"/>
  </w:num>
  <w:num w:numId="15">
    <w:abstractNumId w:val="10"/>
  </w:num>
  <w:num w:numId="16">
    <w:abstractNumId w:val="17"/>
  </w:num>
  <w:num w:numId="17">
    <w:abstractNumId w:val="0"/>
  </w:num>
  <w:num w:numId="18">
    <w:abstractNumId w:val="3"/>
  </w:num>
  <w:num w:numId="19">
    <w:abstractNumId w:val="6"/>
  </w:num>
  <w:num w:numId="20">
    <w:abstractNumId w:val="3"/>
  </w:num>
  <w:num w:numId="21">
    <w:abstractNumId w:val="3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0A3"/>
    <w:rsid w:val="000048EE"/>
    <w:rsid w:val="00027F81"/>
    <w:rsid w:val="000E3658"/>
    <w:rsid w:val="000E4D66"/>
    <w:rsid w:val="00113D7B"/>
    <w:rsid w:val="001456E0"/>
    <w:rsid w:val="00147FA8"/>
    <w:rsid w:val="00164429"/>
    <w:rsid w:val="00170AAC"/>
    <w:rsid w:val="001754CF"/>
    <w:rsid w:val="00193F3B"/>
    <w:rsid w:val="00194C9E"/>
    <w:rsid w:val="001A6144"/>
    <w:rsid w:val="001B05B6"/>
    <w:rsid w:val="001F1D0B"/>
    <w:rsid w:val="00210A84"/>
    <w:rsid w:val="0021593C"/>
    <w:rsid w:val="002372A1"/>
    <w:rsid w:val="002B703C"/>
    <w:rsid w:val="002D3AD8"/>
    <w:rsid w:val="002F30A3"/>
    <w:rsid w:val="00300E19"/>
    <w:rsid w:val="003A5380"/>
    <w:rsid w:val="003A6FAC"/>
    <w:rsid w:val="003F7238"/>
    <w:rsid w:val="00450FE4"/>
    <w:rsid w:val="004B70DB"/>
    <w:rsid w:val="004E72DF"/>
    <w:rsid w:val="00547E48"/>
    <w:rsid w:val="00552F22"/>
    <w:rsid w:val="005C55CE"/>
    <w:rsid w:val="006052D9"/>
    <w:rsid w:val="00617BA1"/>
    <w:rsid w:val="00631BA1"/>
    <w:rsid w:val="00633AE0"/>
    <w:rsid w:val="006433DA"/>
    <w:rsid w:val="006604D7"/>
    <w:rsid w:val="006B16EF"/>
    <w:rsid w:val="006B7561"/>
    <w:rsid w:val="007308D2"/>
    <w:rsid w:val="00785A47"/>
    <w:rsid w:val="007D4ABF"/>
    <w:rsid w:val="007E59CE"/>
    <w:rsid w:val="007F7D47"/>
    <w:rsid w:val="008275D5"/>
    <w:rsid w:val="00842626"/>
    <w:rsid w:val="008701F1"/>
    <w:rsid w:val="00884C43"/>
    <w:rsid w:val="008E7924"/>
    <w:rsid w:val="009173EB"/>
    <w:rsid w:val="009F069B"/>
    <w:rsid w:val="00A079FA"/>
    <w:rsid w:val="00A109C0"/>
    <w:rsid w:val="00A42FB7"/>
    <w:rsid w:val="00A72761"/>
    <w:rsid w:val="00A8130E"/>
    <w:rsid w:val="00A93103"/>
    <w:rsid w:val="00AA5709"/>
    <w:rsid w:val="00AB0565"/>
    <w:rsid w:val="00AF3F0E"/>
    <w:rsid w:val="00AF4F81"/>
    <w:rsid w:val="00AF5C51"/>
    <w:rsid w:val="00B125FB"/>
    <w:rsid w:val="00B2402F"/>
    <w:rsid w:val="00B511E8"/>
    <w:rsid w:val="00BB7E1D"/>
    <w:rsid w:val="00BE4626"/>
    <w:rsid w:val="00C46404"/>
    <w:rsid w:val="00C4691F"/>
    <w:rsid w:val="00C526C6"/>
    <w:rsid w:val="00C80724"/>
    <w:rsid w:val="00CB7BDE"/>
    <w:rsid w:val="00CE1206"/>
    <w:rsid w:val="00CF186D"/>
    <w:rsid w:val="00CF1F1A"/>
    <w:rsid w:val="00D16BC2"/>
    <w:rsid w:val="00D55F46"/>
    <w:rsid w:val="00EA36DB"/>
    <w:rsid w:val="00EA5AEA"/>
    <w:rsid w:val="00EF65F2"/>
    <w:rsid w:val="00F133B4"/>
    <w:rsid w:val="00F15060"/>
    <w:rsid w:val="00F33E78"/>
    <w:rsid w:val="00F42922"/>
    <w:rsid w:val="00FB5DAA"/>
    <w:rsid w:val="00FC0BBB"/>
    <w:rsid w:val="00FC4A64"/>
    <w:rsid w:val="00FC7DCB"/>
    <w:rsid w:val="00FD5996"/>
    <w:rsid w:val="00FE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46404"/>
  </w:style>
  <w:style w:type="paragraph" w:styleId="Nadpis9">
    <w:name w:val="heading 9"/>
    <w:basedOn w:val="Normln"/>
    <w:next w:val="Normln"/>
    <w:link w:val="Nadpis9Char"/>
    <w:uiPriority w:val="99"/>
    <w:qFormat/>
    <w:rsid w:val="00C80724"/>
    <w:pPr>
      <w:keepNext/>
      <w:widowControl w:val="0"/>
      <w:tabs>
        <w:tab w:val="left" w:pos="2552"/>
      </w:tabs>
      <w:suppressAutoHyphens/>
      <w:spacing w:before="2520" w:line="264" w:lineRule="auto"/>
      <w:jc w:val="both"/>
      <w:outlineLvl w:val="8"/>
    </w:pPr>
    <w:rPr>
      <w:rFonts w:ascii="Arial" w:hAnsi="Arial"/>
      <w:b/>
      <w:sz w:val="56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link w:val="Nadpis9"/>
    <w:uiPriority w:val="99"/>
    <w:locked/>
    <w:rsid w:val="00C80724"/>
    <w:rPr>
      <w:rFonts w:ascii="Arial" w:hAnsi="Arial" w:cs="Times New Roman"/>
      <w:b/>
      <w:sz w:val="56"/>
      <w:lang w:eastAsia="ar-SA" w:bidi="ar-SA"/>
    </w:rPr>
  </w:style>
  <w:style w:type="paragraph" w:styleId="Zhlav">
    <w:name w:val="header"/>
    <w:basedOn w:val="Normln"/>
    <w:link w:val="ZhlavChar"/>
    <w:uiPriority w:val="99"/>
    <w:rsid w:val="009173E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E3658"/>
    <w:rPr>
      <w:rFonts w:cs="Times New Roman"/>
    </w:rPr>
  </w:style>
  <w:style w:type="paragraph" w:styleId="Zpat">
    <w:name w:val="footer"/>
    <w:basedOn w:val="Normln"/>
    <w:link w:val="ZpatChar"/>
    <w:uiPriority w:val="99"/>
    <w:rsid w:val="009173E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Pr>
      <w:rFonts w:cs="Times New Roman"/>
      <w:sz w:val="20"/>
      <w:szCs w:val="20"/>
    </w:rPr>
  </w:style>
  <w:style w:type="character" w:styleId="Hypertextovodkaz">
    <w:name w:val="Hyperlink"/>
    <w:uiPriority w:val="99"/>
    <w:rsid w:val="009173EB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9173E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cs="Times New Roman"/>
      <w:sz w:val="2"/>
    </w:rPr>
  </w:style>
  <w:style w:type="character" w:styleId="Sledovanodkaz">
    <w:name w:val="FollowedHyperlink"/>
    <w:uiPriority w:val="99"/>
    <w:rsid w:val="009173EB"/>
    <w:rPr>
      <w:rFonts w:cs="Times New Roman"/>
      <w:color w:val="800080"/>
      <w:u w:val="single"/>
    </w:rPr>
  </w:style>
  <w:style w:type="paragraph" w:customStyle="1" w:styleId="1nadpis1">
    <w:name w:val="1.nadpis1"/>
    <w:basedOn w:val="Normln"/>
    <w:uiPriority w:val="99"/>
    <w:rsid w:val="00A109C0"/>
    <w:pPr>
      <w:numPr>
        <w:numId w:val="9"/>
      </w:numPr>
    </w:pPr>
    <w:rPr>
      <w:b/>
      <w:sz w:val="28"/>
    </w:rPr>
  </w:style>
  <w:style w:type="paragraph" w:customStyle="1" w:styleId="normln1">
    <w:name w:val="normální1"/>
    <w:basedOn w:val="Normln"/>
    <w:uiPriority w:val="99"/>
    <w:rsid w:val="00A109C0"/>
  </w:style>
  <w:style w:type="paragraph" w:customStyle="1" w:styleId="Odrka">
    <w:name w:val="Odrážka"/>
    <w:basedOn w:val="Normln"/>
    <w:uiPriority w:val="99"/>
    <w:rsid w:val="00A109C0"/>
    <w:pPr>
      <w:numPr>
        <w:numId w:val="8"/>
      </w:numPr>
    </w:pPr>
  </w:style>
  <w:style w:type="paragraph" w:styleId="Zkladntext">
    <w:name w:val="Body Text"/>
    <w:basedOn w:val="Normln"/>
    <w:link w:val="ZkladntextChar"/>
    <w:uiPriority w:val="99"/>
    <w:rsid w:val="00A109C0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locked/>
    <w:rPr>
      <w:rFonts w:cs="Times New Roman"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109C0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locked/>
    <w:rPr>
      <w:rFonts w:cs="Times New Roman"/>
      <w:sz w:val="20"/>
      <w:szCs w:val="20"/>
    </w:rPr>
  </w:style>
  <w:style w:type="paragraph" w:styleId="Normlnweb">
    <w:name w:val="Normal (Web)"/>
    <w:basedOn w:val="Normln"/>
    <w:uiPriority w:val="99"/>
    <w:rsid w:val="00C46404"/>
    <w:pPr>
      <w:spacing w:before="100" w:beforeAutospacing="1" w:after="100" w:afterAutospacing="1"/>
    </w:pPr>
    <w:rPr>
      <w:sz w:val="24"/>
      <w:szCs w:val="24"/>
    </w:rPr>
  </w:style>
  <w:style w:type="paragraph" w:customStyle="1" w:styleId="Normlntun">
    <w:name w:val="Normální tučné"/>
    <w:basedOn w:val="Normln"/>
    <w:next w:val="Normln"/>
    <w:uiPriority w:val="99"/>
    <w:rsid w:val="000E3658"/>
    <w:pPr>
      <w:widowControl w:val="0"/>
      <w:tabs>
        <w:tab w:val="right" w:pos="7371"/>
        <w:tab w:val="right" w:pos="8505"/>
      </w:tabs>
      <w:suppressAutoHyphens/>
      <w:spacing w:before="60" w:line="264" w:lineRule="auto"/>
      <w:jc w:val="both"/>
    </w:pPr>
    <w:rPr>
      <w:rFonts w:ascii="Arial" w:hAnsi="Arial"/>
      <w:b/>
      <w:lang w:eastAsia="ar-SA"/>
    </w:rPr>
  </w:style>
  <w:style w:type="paragraph" w:customStyle="1" w:styleId="Import2">
    <w:name w:val="Import 2"/>
    <w:basedOn w:val="Normln"/>
    <w:uiPriority w:val="99"/>
    <w:rsid w:val="00AA5709"/>
    <w:pPr>
      <w:widowControl w:val="0"/>
      <w:spacing w:line="288" w:lineRule="auto"/>
      <w:ind w:firstLine="288"/>
    </w:pPr>
    <w:rPr>
      <w:noProof/>
      <w:sz w:val="24"/>
    </w:rPr>
  </w:style>
  <w:style w:type="paragraph" w:customStyle="1" w:styleId="Import0">
    <w:name w:val="Import 0"/>
    <w:basedOn w:val="Normln"/>
    <w:uiPriority w:val="99"/>
    <w:rsid w:val="00AA5709"/>
    <w:pPr>
      <w:widowControl w:val="0"/>
      <w:spacing w:line="288" w:lineRule="auto"/>
    </w:pPr>
    <w:rPr>
      <w:noProof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46404"/>
  </w:style>
  <w:style w:type="paragraph" w:styleId="Nadpis9">
    <w:name w:val="heading 9"/>
    <w:basedOn w:val="Normln"/>
    <w:next w:val="Normln"/>
    <w:link w:val="Nadpis9Char"/>
    <w:uiPriority w:val="99"/>
    <w:qFormat/>
    <w:rsid w:val="00C80724"/>
    <w:pPr>
      <w:keepNext/>
      <w:widowControl w:val="0"/>
      <w:tabs>
        <w:tab w:val="left" w:pos="2552"/>
      </w:tabs>
      <w:suppressAutoHyphens/>
      <w:spacing w:before="2520" w:line="264" w:lineRule="auto"/>
      <w:jc w:val="both"/>
      <w:outlineLvl w:val="8"/>
    </w:pPr>
    <w:rPr>
      <w:rFonts w:ascii="Arial" w:hAnsi="Arial"/>
      <w:b/>
      <w:sz w:val="56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link w:val="Nadpis9"/>
    <w:uiPriority w:val="99"/>
    <w:locked/>
    <w:rsid w:val="00C80724"/>
    <w:rPr>
      <w:rFonts w:ascii="Arial" w:hAnsi="Arial" w:cs="Times New Roman"/>
      <w:b/>
      <w:sz w:val="56"/>
      <w:lang w:eastAsia="ar-SA" w:bidi="ar-SA"/>
    </w:rPr>
  </w:style>
  <w:style w:type="paragraph" w:styleId="Zhlav">
    <w:name w:val="header"/>
    <w:basedOn w:val="Normln"/>
    <w:link w:val="ZhlavChar"/>
    <w:uiPriority w:val="99"/>
    <w:rsid w:val="009173E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E3658"/>
    <w:rPr>
      <w:rFonts w:cs="Times New Roman"/>
    </w:rPr>
  </w:style>
  <w:style w:type="paragraph" w:styleId="Zpat">
    <w:name w:val="footer"/>
    <w:basedOn w:val="Normln"/>
    <w:link w:val="ZpatChar"/>
    <w:uiPriority w:val="99"/>
    <w:rsid w:val="009173E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Pr>
      <w:rFonts w:cs="Times New Roman"/>
      <w:sz w:val="20"/>
      <w:szCs w:val="20"/>
    </w:rPr>
  </w:style>
  <w:style w:type="character" w:styleId="Hypertextovodkaz">
    <w:name w:val="Hyperlink"/>
    <w:uiPriority w:val="99"/>
    <w:rsid w:val="009173EB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9173E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cs="Times New Roman"/>
      <w:sz w:val="2"/>
    </w:rPr>
  </w:style>
  <w:style w:type="character" w:styleId="Sledovanodkaz">
    <w:name w:val="FollowedHyperlink"/>
    <w:uiPriority w:val="99"/>
    <w:rsid w:val="009173EB"/>
    <w:rPr>
      <w:rFonts w:cs="Times New Roman"/>
      <w:color w:val="800080"/>
      <w:u w:val="single"/>
    </w:rPr>
  </w:style>
  <w:style w:type="paragraph" w:customStyle="1" w:styleId="1nadpis1">
    <w:name w:val="1.nadpis1"/>
    <w:basedOn w:val="Normln"/>
    <w:uiPriority w:val="99"/>
    <w:rsid w:val="00A109C0"/>
    <w:pPr>
      <w:numPr>
        <w:numId w:val="9"/>
      </w:numPr>
    </w:pPr>
    <w:rPr>
      <w:b/>
      <w:sz w:val="28"/>
    </w:rPr>
  </w:style>
  <w:style w:type="paragraph" w:customStyle="1" w:styleId="normln1">
    <w:name w:val="normální1"/>
    <w:basedOn w:val="Normln"/>
    <w:uiPriority w:val="99"/>
    <w:rsid w:val="00A109C0"/>
  </w:style>
  <w:style w:type="paragraph" w:customStyle="1" w:styleId="Odrka">
    <w:name w:val="Odrážka"/>
    <w:basedOn w:val="Normln"/>
    <w:uiPriority w:val="99"/>
    <w:rsid w:val="00A109C0"/>
    <w:pPr>
      <w:numPr>
        <w:numId w:val="8"/>
      </w:numPr>
    </w:pPr>
  </w:style>
  <w:style w:type="paragraph" w:styleId="Zkladntext">
    <w:name w:val="Body Text"/>
    <w:basedOn w:val="Normln"/>
    <w:link w:val="ZkladntextChar"/>
    <w:uiPriority w:val="99"/>
    <w:rsid w:val="00A109C0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locked/>
    <w:rPr>
      <w:rFonts w:cs="Times New Roman"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109C0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locked/>
    <w:rPr>
      <w:rFonts w:cs="Times New Roman"/>
      <w:sz w:val="20"/>
      <w:szCs w:val="20"/>
    </w:rPr>
  </w:style>
  <w:style w:type="paragraph" w:styleId="Normlnweb">
    <w:name w:val="Normal (Web)"/>
    <w:basedOn w:val="Normln"/>
    <w:uiPriority w:val="99"/>
    <w:rsid w:val="00C46404"/>
    <w:pPr>
      <w:spacing w:before="100" w:beforeAutospacing="1" w:after="100" w:afterAutospacing="1"/>
    </w:pPr>
    <w:rPr>
      <w:sz w:val="24"/>
      <w:szCs w:val="24"/>
    </w:rPr>
  </w:style>
  <w:style w:type="paragraph" w:customStyle="1" w:styleId="Normlntun">
    <w:name w:val="Normální tučné"/>
    <w:basedOn w:val="Normln"/>
    <w:next w:val="Normln"/>
    <w:uiPriority w:val="99"/>
    <w:rsid w:val="000E3658"/>
    <w:pPr>
      <w:widowControl w:val="0"/>
      <w:tabs>
        <w:tab w:val="right" w:pos="7371"/>
        <w:tab w:val="right" w:pos="8505"/>
      </w:tabs>
      <w:suppressAutoHyphens/>
      <w:spacing w:before="60" w:line="264" w:lineRule="auto"/>
      <w:jc w:val="both"/>
    </w:pPr>
    <w:rPr>
      <w:rFonts w:ascii="Arial" w:hAnsi="Arial"/>
      <w:b/>
      <w:lang w:eastAsia="ar-SA"/>
    </w:rPr>
  </w:style>
  <w:style w:type="paragraph" w:customStyle="1" w:styleId="Import2">
    <w:name w:val="Import 2"/>
    <w:basedOn w:val="Normln"/>
    <w:uiPriority w:val="99"/>
    <w:rsid w:val="00AA5709"/>
    <w:pPr>
      <w:widowControl w:val="0"/>
      <w:spacing w:line="288" w:lineRule="auto"/>
      <w:ind w:firstLine="288"/>
    </w:pPr>
    <w:rPr>
      <w:noProof/>
      <w:sz w:val="24"/>
    </w:rPr>
  </w:style>
  <w:style w:type="paragraph" w:customStyle="1" w:styleId="Import0">
    <w:name w:val="Import 0"/>
    <w:basedOn w:val="Normln"/>
    <w:uiPriority w:val="99"/>
    <w:rsid w:val="00AA5709"/>
    <w:pPr>
      <w:widowControl w:val="0"/>
      <w:spacing w:line="288" w:lineRule="auto"/>
    </w:pPr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57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EDEC3-6F12-4C3C-A64D-209797EA2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634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                            </vt:lpstr>
    </vt:vector>
  </TitlesOfParts>
  <Company>Alsig spol. s r.o.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Šidlíková</dc:creator>
  <cp:lastModifiedBy>User</cp:lastModifiedBy>
  <cp:revision>5</cp:revision>
  <cp:lastPrinted>2011-07-01T07:29:00Z</cp:lastPrinted>
  <dcterms:created xsi:type="dcterms:W3CDTF">2012-07-15T21:23:00Z</dcterms:created>
  <dcterms:modified xsi:type="dcterms:W3CDTF">2012-12-02T12:27:00Z</dcterms:modified>
</cp:coreProperties>
</file>